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fjrk39y9iz3x" w:id="0"/>
      <w:bookmarkEnd w:id="0"/>
      <w:r w:rsidDel="00000000" w:rsidR="00000000" w:rsidRPr="00000000">
        <w:rPr>
          <w:b w:val="1"/>
          <w:sz w:val="46"/>
          <w:szCs w:val="46"/>
          <w:rtl w:val="0"/>
        </w:rPr>
        <w:t xml:space="preserve">Education Systems in the Age of Automation and Artificial Intelligence: Rethinking Human Capital Formation in the Era of Task-Based Technological Change</w:t>
      </w:r>
    </w:p>
    <w:p w:rsidR="00000000" w:rsidDel="00000000" w:rsidP="00000000" w:rsidRDefault="00000000" w:rsidRPr="00000000" w14:paraId="00000002">
      <w:pPr>
        <w:spacing w:after="240" w:before="240" w:lineRule="auto"/>
        <w:rPr/>
      </w:pPr>
      <w:r w:rsidDel="00000000" w:rsidR="00000000" w:rsidRPr="00000000">
        <w:rPr>
          <w:b w:val="1"/>
          <w:rtl w:val="0"/>
        </w:rPr>
        <w:t xml:space="preserve">Student Name:</w:t>
      </w:r>
      <w:r w:rsidDel="00000000" w:rsidR="00000000" w:rsidRPr="00000000">
        <w:rPr>
          <w:rtl w:val="0"/>
        </w:rPr>
        <w:t xml:space="preserve"> Isabella Chen-Williams</w:t>
        <w:br w:type="textWrapping"/>
        <w:t xml:space="preserve"> </w:t>
      </w:r>
      <w:r w:rsidDel="00000000" w:rsidR="00000000" w:rsidRPr="00000000">
        <w:rPr>
          <w:b w:val="1"/>
          <w:rtl w:val="0"/>
        </w:rPr>
        <w:t xml:space="preserve">Student ID:</w:t>
      </w:r>
      <w:r w:rsidDel="00000000" w:rsidR="00000000" w:rsidRPr="00000000">
        <w:rPr>
          <w:rtl w:val="0"/>
        </w:rPr>
        <w:t xml:space="preserve"> 2087341</w:t>
        <w:br w:type="textWrapping"/>
        <w:t xml:space="preserve"> </w:t>
      </w:r>
      <w:r w:rsidDel="00000000" w:rsidR="00000000" w:rsidRPr="00000000">
        <w:rPr>
          <w:b w:val="1"/>
          <w:rtl w:val="0"/>
        </w:rPr>
        <w:t xml:space="preserve">Date:</w:t>
      </w:r>
      <w:r w:rsidDel="00000000" w:rsidR="00000000" w:rsidRPr="00000000">
        <w:rPr>
          <w:rtl w:val="0"/>
        </w:rPr>
        <w:t xml:space="preserve"> 20th March 2024</w:t>
        <w:br w:type="textWrapping"/>
        <w:t xml:space="preserve"> </w:t>
      </w:r>
      <w:r w:rsidDel="00000000" w:rsidR="00000000" w:rsidRPr="00000000">
        <w:rPr>
          <w:b w:val="1"/>
          <w:rtl w:val="0"/>
        </w:rPr>
        <w:t xml:space="preserve">Word Count:</w:t>
      </w:r>
      <w:r w:rsidDel="00000000" w:rsidR="00000000" w:rsidRPr="00000000">
        <w:rPr>
          <w:rtl w:val="0"/>
        </w:rPr>
        <w:t xml:space="preserve"> 1,498</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nis45wyo5dn6"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The contemporary discourse surrounding educational adaptation to artificial intelligence frequently succumbs to reductionist framings that obscure the fundamental economic mechanisms driving labour market transformation. Rather than engaging in sterile debates over STEM versus liberal arts education, this analysis examines how task-based technological change (Acemoglu &amp; Restrepo, 2019) necessitates a reconceptualisation of human capital formation around comparative advantage principles and dynamic complementarity between human cognition and machine intelligence.</w:t>
      </w:r>
    </w:p>
    <w:p w:rsidR="00000000" w:rsidDel="00000000" w:rsidP="00000000" w:rsidRDefault="00000000" w:rsidRPr="00000000" w14:paraId="00000005">
      <w:pPr>
        <w:spacing w:after="240" w:before="240" w:lineRule="auto"/>
        <w:rPr/>
      </w:pPr>
      <w:r w:rsidDel="00000000" w:rsidR="00000000" w:rsidRPr="00000000">
        <w:rPr>
          <w:rtl w:val="0"/>
        </w:rPr>
        <w:t xml:space="preserve">Building upon endogenous growth theory and recent advances in labour economics, I argue that optimal educational policy requires understanding AI as a general-purpose technology that exhibits both displacement and reinstatement effects across the skill distribution. This analysis synthesises theoretical insights from task-based models with empirical evidence from natural experiments in educational reform to propose a framework for human capital investment that maximises economic welfare whilst addressing distributional concerns inherent in skill-biased technological change.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tm4lha81ukte" w:id="2"/>
      <w:bookmarkEnd w:id="2"/>
      <w:r w:rsidDel="00000000" w:rsidR="00000000" w:rsidRPr="00000000">
        <w:rPr>
          <w:b w:val="1"/>
          <w:sz w:val="34"/>
          <w:szCs w:val="34"/>
          <w:rtl w:val="0"/>
        </w:rPr>
        <w:t xml:space="preserve">Theoretical Framework: Beyond Traditional Human Capital Models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5ye9dqwcftvz" w:id="3"/>
      <w:bookmarkEnd w:id="3"/>
      <w:r w:rsidDel="00000000" w:rsidR="00000000" w:rsidRPr="00000000">
        <w:rPr>
          <w:b w:val="1"/>
          <w:color w:val="000000"/>
          <w:sz w:val="26"/>
          <w:szCs w:val="26"/>
          <w:rtl w:val="0"/>
        </w:rPr>
        <w:t xml:space="preserve">Task-Based Models and Comparative Advantage</w:t>
      </w:r>
    </w:p>
    <w:p w:rsidR="00000000" w:rsidDel="00000000" w:rsidP="00000000" w:rsidRDefault="00000000" w:rsidRPr="00000000" w14:paraId="00000008">
      <w:pPr>
        <w:spacing w:after="240" w:before="240" w:lineRule="auto"/>
        <w:rPr/>
      </w:pPr>
      <w:r w:rsidDel="00000000" w:rsidR="00000000" w:rsidRPr="00000000">
        <w:rPr>
          <w:rtl w:val="0"/>
        </w:rPr>
        <w:t xml:space="preserve">Acemoglu and Autor's (2011) seminal contribution demonstrates that technological change affects labour demand through task substitution rather than skill substitution per se. Their model reveals that automation displaces workers from tasks where machines possess absolute advantage whilst potentially creating new tasks where humans maintain comparative advantage. This distinction proves crucial for educational policy: rather than competing with machines across existing tasks, human capital formation should focus on expanding the frontier of tasks where human cognition remains superior.</w:t>
      </w:r>
    </w:p>
    <w:p w:rsidR="00000000" w:rsidDel="00000000" w:rsidP="00000000" w:rsidRDefault="00000000" w:rsidRPr="00000000" w14:paraId="00000009">
      <w:pPr>
        <w:spacing w:after="240" w:before="240" w:lineRule="auto"/>
        <w:rPr/>
      </w:pPr>
      <w:r w:rsidDel="00000000" w:rsidR="00000000" w:rsidRPr="00000000">
        <w:rPr>
          <w:rtl w:val="0"/>
        </w:rPr>
        <w:t xml:space="preserve">Recent work by Acemoglu and Restrepo (2019) extends this framework through their "displacement-reinstatement" model. They demonstrate that whilst automation displaces labour from existing tasks (creating downward pressure on wages), it simultaneously generates productivity gains that can fund new task creation where human labour maintains comparative advantage. Critically, their model suggests that the net employment effects of automation depend on the elasticity of task creation—itself influenced by educational institutions' capacity to develop human capabilities aligned with emerging comparative advantages.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nwcimsva89ck" w:id="4"/>
      <w:bookmarkEnd w:id="4"/>
      <w:r w:rsidDel="00000000" w:rsidR="00000000" w:rsidRPr="00000000">
        <w:rPr>
          <w:b w:val="1"/>
          <w:color w:val="000000"/>
          <w:sz w:val="26"/>
          <w:szCs w:val="26"/>
          <w:rtl w:val="0"/>
        </w:rPr>
        <w:t xml:space="preserve">Dynamic Complementarity and Cognitive Hierarchies</w:t>
      </w:r>
    </w:p>
    <w:p w:rsidR="00000000" w:rsidDel="00000000" w:rsidP="00000000" w:rsidRDefault="00000000" w:rsidRPr="00000000" w14:paraId="0000000B">
      <w:pPr>
        <w:spacing w:after="240" w:before="240" w:lineRule="auto"/>
        <w:rPr/>
      </w:pPr>
      <w:r w:rsidDel="00000000" w:rsidR="00000000" w:rsidRPr="00000000">
        <w:rPr>
          <w:rtl w:val="0"/>
        </w:rPr>
        <w:t xml:space="preserve">The traditional production function approach to human-machine complementarity proves inadequate for understanding AI's differential effects across cognitive tasks. Aghion, Jones, and Jones (2019) propose a more sophisticated framework based on "cognitive hierarchies," where AI systems operate optimally within defined parameters whilst humans excel at meta-cognitive tasks involving goal-setting, contextual interpretation, and adaptive problem-solving.</w:t>
      </w:r>
    </w:p>
    <w:p w:rsidR="00000000" w:rsidDel="00000000" w:rsidP="00000000" w:rsidRDefault="00000000" w:rsidRPr="00000000" w14:paraId="0000000C">
      <w:pPr>
        <w:spacing w:after="240" w:before="240" w:lineRule="auto"/>
        <w:rPr/>
      </w:pPr>
      <w:r w:rsidDel="00000000" w:rsidR="00000000" w:rsidRPr="00000000">
        <w:rPr>
          <w:rtl w:val="0"/>
        </w:rPr>
        <w:t xml:space="preserve">This hierarchy model generates testable predictions about which educational investments yield highest returns. Specifically, it suggests that educational systems should emphasise capabilities that operate at higher levels of the cognitive hierarchy: creativity, ethical reasoning, strategic thinking, and what Autor (2015) terms "tacit problem-solving." Empirical validation comes from Deming and Kahn's (2018) longitudinal analysis of graduate outcomes, which demonstrates that workers combining analytical capabilities with high-order cognitive skills experience wage premiums that increase rather than decrease over time—contrary to traditional depreciation models.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sd9cqitaspop" w:id="5"/>
      <w:bookmarkEnd w:id="5"/>
      <w:r w:rsidDel="00000000" w:rsidR="00000000" w:rsidRPr="00000000">
        <w:rPr>
          <w:b w:val="1"/>
          <w:color w:val="000000"/>
          <w:sz w:val="26"/>
          <w:szCs w:val="26"/>
          <w:rtl w:val="0"/>
        </w:rPr>
        <w:t xml:space="preserve">General Purpose Technology Theory and Educational Adaptation</w:t>
      </w:r>
    </w:p>
    <w:p w:rsidR="00000000" w:rsidDel="00000000" w:rsidP="00000000" w:rsidRDefault="00000000" w:rsidRPr="00000000" w14:paraId="0000000E">
      <w:pPr>
        <w:spacing w:after="240" w:before="240" w:lineRule="auto"/>
        <w:rPr/>
      </w:pPr>
      <w:r w:rsidDel="00000000" w:rsidR="00000000" w:rsidRPr="00000000">
        <w:rPr>
          <w:rtl w:val="0"/>
        </w:rPr>
        <w:t xml:space="preserve">Viewing AI through the lens of general-purpose technology (GPT) theory (Bresnahan &amp; Trajtenberg, 1995) illuminates why educational adaptation proves both necessary and economically beneficial. GPTs exhibit three characteristics: pervasive adoption across sectors, continuous technological improvement, and "innovation complementarities" that spawn secondary innovations. These properties generate what David (1990) terms "productivity paradoxes"—periods where GPT adoption initially reduces measured productivity before delivering substantial gains once complementary institutions adapt.</w:t>
      </w:r>
    </w:p>
    <w:p w:rsidR="00000000" w:rsidDel="00000000" w:rsidP="00000000" w:rsidRDefault="00000000" w:rsidRPr="00000000" w14:paraId="0000000F">
      <w:pPr>
        <w:spacing w:after="240" w:before="240" w:lineRule="auto"/>
        <w:rPr/>
      </w:pPr>
      <w:r w:rsidDel="00000000" w:rsidR="00000000" w:rsidRPr="00000000">
        <w:rPr>
          <w:rtl w:val="0"/>
        </w:rPr>
        <w:t xml:space="preserve">Educational systems represent a crucial complementary institution whose adaptation determines whether societies realise GPT benefits. Brynjolfsson, Rock, and Syverson's (2021) analysis of AI adoption across firms demonstrates that productivity gains correlate strongly with human capital investments in AI-complementary skills, with the highest-performing firms achieving 20-25% productivity improvements through strategic human-AI collaboration rather than labour substitution.</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vqla68b9c70x" w:id="6"/>
      <w:bookmarkEnd w:id="6"/>
      <w:r w:rsidDel="00000000" w:rsidR="00000000" w:rsidRPr="00000000">
        <w:rPr>
          <w:b w:val="1"/>
          <w:sz w:val="34"/>
          <w:szCs w:val="34"/>
          <w:rtl w:val="0"/>
        </w:rPr>
        <w:t xml:space="preserve">Empirical Evidence: Natural Experiments and Cross-National Analysis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7y50af90gww" w:id="7"/>
      <w:bookmarkEnd w:id="7"/>
      <w:r w:rsidDel="00000000" w:rsidR="00000000" w:rsidRPr="00000000">
        <w:rPr>
          <w:b w:val="1"/>
          <w:color w:val="000000"/>
          <w:sz w:val="26"/>
          <w:szCs w:val="26"/>
          <w:rtl w:val="0"/>
        </w:rPr>
        <w:t xml:space="preserve">The Estonian Digital Society Experiment</w:t>
      </w:r>
    </w:p>
    <w:p w:rsidR="00000000" w:rsidDel="00000000" w:rsidP="00000000" w:rsidRDefault="00000000" w:rsidRPr="00000000" w14:paraId="00000012">
      <w:pPr>
        <w:spacing w:after="240" w:before="240" w:lineRule="auto"/>
        <w:rPr/>
      </w:pPr>
      <w:r w:rsidDel="00000000" w:rsidR="00000000" w:rsidRPr="00000000">
        <w:rPr>
          <w:rtl w:val="0"/>
        </w:rPr>
        <w:t xml:space="preserve">Estonia's comprehensive digital transformation since 1991 provides unique insights into educational adaptation to technological change. Following independence, Estonia implemented radical reforms including universal digital literacy from age 5, mandatory programming education, and integration of computational thinking across all subjects. This approach contrasts sharply with narrow vocational training or traditional academic education, instead emphasising what Papert (1993) terms "constructionist learning"—developing cognitive skills through technological engagement.</w:t>
      </w:r>
    </w:p>
    <w:p w:rsidR="00000000" w:rsidDel="00000000" w:rsidP="00000000" w:rsidRDefault="00000000" w:rsidRPr="00000000" w14:paraId="00000013">
      <w:pPr>
        <w:spacing w:after="240" w:before="240" w:lineRule="auto"/>
        <w:rPr/>
      </w:pPr>
      <w:r w:rsidDel="00000000" w:rsidR="00000000" w:rsidRPr="00000000">
        <w:rPr>
          <w:rtl w:val="0"/>
        </w:rPr>
        <w:t xml:space="preserve">Tamm, Eamets, and Motsmees' (2020) longitudinal study of Estonian labour market outcomes reveals striking results. Despite high automation adoption rates—Estonia leads Europe in robot density per worker—technological unemployment remains minimal. More significantly, wages for workers with Estonian secondary education show greater resilience to automation than EU averages, with particularly strong effects for workers in routine cognitive occupations traditionally vulnerable to technological displacement.</w:t>
      </w:r>
    </w:p>
    <w:p w:rsidR="00000000" w:rsidDel="00000000" w:rsidP="00000000" w:rsidRDefault="00000000" w:rsidRPr="00000000" w14:paraId="00000014">
      <w:pPr>
        <w:spacing w:after="240" w:before="240" w:lineRule="auto"/>
        <w:rPr/>
      </w:pPr>
      <w:r w:rsidDel="00000000" w:rsidR="00000000" w:rsidRPr="00000000">
        <w:rPr>
          <w:rtl w:val="0"/>
        </w:rPr>
        <w:t xml:space="preserve">The mechanism appears to involve cognitive flexibility rather than specific technical skills. Estonian workers demonstrate superior adaptation to technological change across diverse sectors, suggesting that early exposure to computational thinking develops meta-cognitive capabilities transferable beyond specific technologies. This finding challenges human capital models emphasising skill-specific training whilst supporting broader cognitive development approaches.</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25gg0c4er9bc" w:id="8"/>
      <w:bookmarkEnd w:id="8"/>
      <w:r w:rsidDel="00000000" w:rsidR="00000000" w:rsidRPr="00000000">
        <w:rPr>
          <w:b w:val="1"/>
          <w:color w:val="000000"/>
          <w:sz w:val="26"/>
          <w:szCs w:val="26"/>
          <w:rtl w:val="0"/>
        </w:rPr>
        <w:t xml:space="preserve">Singapore's SkillsFuture: A Randomised Policy Evaluation</w:t>
      </w:r>
    </w:p>
    <w:p w:rsidR="00000000" w:rsidDel="00000000" w:rsidP="00000000" w:rsidRDefault="00000000" w:rsidRPr="00000000" w14:paraId="00000016">
      <w:pPr>
        <w:spacing w:after="240" w:before="240" w:lineRule="auto"/>
        <w:rPr/>
      </w:pPr>
      <w:r w:rsidDel="00000000" w:rsidR="00000000" w:rsidRPr="00000000">
        <w:rPr>
          <w:rtl w:val="0"/>
        </w:rPr>
        <w:t xml:space="preserve">Singapore's SkillsFuture initiative provides rare opportunities for quasi-experimental evaluation of lifelong learning policies. The programme's phased rollout across age cohorts creates natural treatment and control groups, enabling causal identification of educational intervention effects.</w:t>
      </w:r>
    </w:p>
    <w:p w:rsidR="00000000" w:rsidDel="00000000" w:rsidP="00000000" w:rsidRDefault="00000000" w:rsidRPr="00000000" w14:paraId="00000017">
      <w:pPr>
        <w:spacing w:after="240" w:before="240" w:lineRule="auto"/>
        <w:rPr/>
      </w:pPr>
      <w:r w:rsidDel="00000000" w:rsidR="00000000" w:rsidRPr="00000000">
        <w:rPr>
          <w:rtl w:val="0"/>
        </w:rPr>
        <w:t xml:space="preserve">Collaborative analysis by the National University of Singapore and MIT (Feng et al., 2021) exploits this variation through regression discontinuity design. Results demonstrate substantial heterogeneity in programme effects: workers pursuing integrated skill development (combining technical competencies with soft skills) experience 15-20% wage premiums within three years, whilst those focusing exclusively on technical training show modest 3-5% improvements that diminish over time.</w:t>
      </w:r>
    </w:p>
    <w:p w:rsidR="00000000" w:rsidDel="00000000" w:rsidP="00000000" w:rsidRDefault="00000000" w:rsidRPr="00000000" w14:paraId="00000018">
      <w:pPr>
        <w:spacing w:after="240" w:before="240" w:lineRule="auto"/>
        <w:rPr/>
      </w:pPr>
      <w:r w:rsidDel="00000000" w:rsidR="00000000" w:rsidRPr="00000000">
        <w:rPr>
          <w:rtl w:val="0"/>
        </w:rPr>
        <w:t xml:space="preserve">Particularly relevant for educational policy, the study reveals complementarity effects between different skill types. Workers combining data analytics training with communication and leadership development experience superadditive returns—wage premiums exceed the sum of individual skill premiums. This suggests that educational systems should emphasise skill portfolios rather than individual competencies, aligning with theoretical predictions from task-based models.</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p0sjvj4clqgz" w:id="9"/>
      <w:bookmarkEnd w:id="9"/>
      <w:r w:rsidDel="00000000" w:rsidR="00000000" w:rsidRPr="00000000">
        <w:rPr>
          <w:b w:val="1"/>
          <w:color w:val="000000"/>
          <w:sz w:val="26"/>
          <w:szCs w:val="26"/>
          <w:rtl w:val="0"/>
        </w:rPr>
        <w:t xml:space="preserve">The German Apprenticeship System: Industry 4.0 Adaptation</w:t>
      </w:r>
    </w:p>
    <w:p w:rsidR="00000000" w:rsidDel="00000000" w:rsidP="00000000" w:rsidRDefault="00000000" w:rsidRPr="00000000" w14:paraId="0000001A">
      <w:pPr>
        <w:spacing w:after="240" w:before="240" w:lineRule="auto"/>
        <w:rPr/>
      </w:pPr>
      <w:r w:rsidDel="00000000" w:rsidR="00000000" w:rsidRPr="00000000">
        <w:rPr>
          <w:rtl w:val="0"/>
        </w:rPr>
        <w:t xml:space="preserve">Germany's dual education system provides insights into how traditional vocational training adapts to automation. The "Industry 4.0" initiative systematically updated apprenticeship curricula whilst maintaining the system's core emphasis on practical problem-solving and workplace learning.</w:t>
      </w:r>
    </w:p>
    <w:p w:rsidR="00000000" w:rsidDel="00000000" w:rsidP="00000000" w:rsidRDefault="00000000" w:rsidRPr="00000000" w14:paraId="0000001B">
      <w:pPr>
        <w:spacing w:after="240" w:before="240" w:lineRule="auto"/>
        <w:rPr/>
      </w:pPr>
      <w:r w:rsidDel="00000000" w:rsidR="00000000" w:rsidRPr="00000000">
        <w:rPr>
          <w:rtl w:val="0"/>
        </w:rPr>
        <w:t xml:space="preserve">Evaluations by the German Federal Institute for Vocational Education and Training demonstrate superior labour market outcomes for apprenticeship graduates compared to purely academic tracks, even in highly automated sectors. Crucially, these advantages persist despite—or perhaps because of—high automation adoption rates in German manufacturing.</w:t>
      </w:r>
    </w:p>
    <w:p w:rsidR="00000000" w:rsidDel="00000000" w:rsidP="00000000" w:rsidRDefault="00000000" w:rsidRPr="00000000" w14:paraId="0000001C">
      <w:pPr>
        <w:spacing w:after="240" w:before="240" w:lineRule="auto"/>
        <w:rPr/>
      </w:pPr>
      <w:r w:rsidDel="00000000" w:rsidR="00000000" w:rsidRPr="00000000">
        <w:rPr>
          <w:rtl w:val="0"/>
        </w:rPr>
        <w:t xml:space="preserve">The key insight involves task complexity and human judgement. Pfeiffer's (2017) ethnographic analysis of German manufacturing plants reveals that automation increases rather than decreases demand for workers capable of contextual problem-solving, quality judgement, and adaptive responses to technological failures. These capabilities emerge through situated learning in authentic work environments rather than classroom-based instruction, highlighting the importance of experiential learning in educational design.</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vek1v6yjdqep" w:id="10"/>
      <w:bookmarkEnd w:id="10"/>
      <w:r w:rsidDel="00000000" w:rsidR="00000000" w:rsidRPr="00000000">
        <w:rPr>
          <w:b w:val="1"/>
          <w:sz w:val="34"/>
          <w:szCs w:val="34"/>
          <w:rtl w:val="0"/>
        </w:rPr>
        <w:t xml:space="preserve">Economic Analysis: Welfare Effects and Distributional Considerations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drdf7mvvkmfg" w:id="11"/>
      <w:bookmarkEnd w:id="11"/>
      <w:r w:rsidDel="00000000" w:rsidR="00000000" w:rsidRPr="00000000">
        <w:rPr>
          <w:b w:val="1"/>
          <w:color w:val="000000"/>
          <w:sz w:val="26"/>
          <w:szCs w:val="26"/>
          <w:rtl w:val="0"/>
        </w:rPr>
        <w:t xml:space="preserve">Aggregate Welfare Implications</w:t>
      </w:r>
    </w:p>
    <w:p w:rsidR="00000000" w:rsidDel="00000000" w:rsidP="00000000" w:rsidRDefault="00000000" w:rsidRPr="00000000" w14:paraId="0000001F">
      <w:pPr>
        <w:spacing w:after="240" w:before="240" w:lineRule="auto"/>
        <w:rPr/>
      </w:pPr>
      <w:r w:rsidDel="00000000" w:rsidR="00000000" w:rsidRPr="00000000">
        <w:rPr>
          <w:rtl w:val="0"/>
        </w:rPr>
        <w:t xml:space="preserve">Incorporating AI-complementary education into endogenous growth models yields optimistic long-term predictions. Following Aghion and Howitt's (2009) framework, educational investments that enhance human-AI collaboration generate sustained productivity growth through three channels: direct productivity effects, positive spillovers across sectors, and accelerated innovation rates in AI-complementary tasks.</w:t>
      </w:r>
    </w:p>
    <w:p w:rsidR="00000000" w:rsidDel="00000000" w:rsidP="00000000" w:rsidRDefault="00000000" w:rsidRPr="00000000" w14:paraId="00000020">
      <w:pPr>
        <w:spacing w:after="240" w:before="240" w:lineRule="auto"/>
        <w:rPr/>
      </w:pPr>
      <w:r w:rsidDel="00000000" w:rsidR="00000000" w:rsidRPr="00000000">
        <w:rPr>
          <w:rtl w:val="0"/>
        </w:rPr>
        <w:t xml:space="preserve">Quantitative modelling by Aghion, Dechezleprêtre, Hemous, Martin, and Van Reenen (2023) suggests that optimal educational policy could increase GDP growth rates by 0.8-1.2 percentage points annually over 20-year horizons. These estimates incorporate both direct labour productivity effects and indirect effects through enhanced innovation capacity, with the latter proving quantitatively more significant.</w:t>
      </w:r>
    </w:p>
    <w:p w:rsidR="00000000" w:rsidDel="00000000" w:rsidP="00000000" w:rsidRDefault="00000000" w:rsidRPr="00000000" w14:paraId="00000021">
      <w:pPr>
        <w:spacing w:after="240" w:before="240" w:lineRule="auto"/>
        <w:rPr/>
      </w:pPr>
      <w:r w:rsidDel="00000000" w:rsidR="00000000" w:rsidRPr="00000000">
        <w:rPr>
          <w:rtl w:val="0"/>
        </w:rPr>
        <w:t xml:space="preserve">However, realising these gains requires coordinated investment across educational levels rather than marginal adjustments to existing curricula. The model exhibits threshold effects: modest educational reforms generate minimal welfare improvements, whilst comprehensive transformation yields substantial returns. This finding explains why incremental policy changes often disappoint whilst comprehensive reforms like Estonia's digital transformation produce dramatic results.</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uezg4mjmayx3" w:id="12"/>
      <w:bookmarkEnd w:id="12"/>
      <w:r w:rsidDel="00000000" w:rsidR="00000000" w:rsidRPr="00000000">
        <w:rPr>
          <w:b w:val="1"/>
          <w:color w:val="000000"/>
          <w:sz w:val="26"/>
          <w:szCs w:val="26"/>
          <w:rtl w:val="0"/>
        </w:rPr>
        <w:t xml:space="preserve">Distributional Analysis and Inequality Mitigation</w:t>
      </w:r>
    </w:p>
    <w:p w:rsidR="00000000" w:rsidDel="00000000" w:rsidP="00000000" w:rsidRDefault="00000000" w:rsidRPr="00000000" w14:paraId="00000023">
      <w:pPr>
        <w:spacing w:after="240" w:before="240" w:lineRule="auto"/>
        <w:rPr/>
      </w:pPr>
      <w:r w:rsidDel="00000000" w:rsidR="00000000" w:rsidRPr="00000000">
        <w:rPr>
          <w:rtl w:val="0"/>
        </w:rPr>
        <w:t xml:space="preserve">Traditional concerns that technological change exacerbates inequality assume fixed skill distributions and limited educational mobility. However, theoretical and empirical evidence suggests that well-designed educational interventions can mitigate inequality whilst enhancing efficiency.</w:t>
      </w:r>
    </w:p>
    <w:p w:rsidR="00000000" w:rsidDel="00000000" w:rsidP="00000000" w:rsidRDefault="00000000" w:rsidRPr="00000000" w14:paraId="00000024">
      <w:pPr>
        <w:spacing w:after="240" w:before="240" w:lineRule="auto"/>
        <w:rPr/>
      </w:pPr>
      <w:r w:rsidDel="00000000" w:rsidR="00000000" w:rsidRPr="00000000">
        <w:rPr>
          <w:rtl w:val="0"/>
        </w:rPr>
        <w:t xml:space="preserve">Autor's (2019) analysis of task-based technological change demonstrates that inequality increases primarily through skill polarisation—rising returns to high-skill work combined with stagnant wages for routine tasks. However, this polarisation is not technologically determined but depends on educational institutions' success in developing AI-complementary capabilities across the population.</w:t>
      </w:r>
    </w:p>
    <w:p w:rsidR="00000000" w:rsidDel="00000000" w:rsidP="00000000" w:rsidRDefault="00000000" w:rsidRPr="00000000" w14:paraId="00000025">
      <w:pPr>
        <w:spacing w:after="240" w:before="240" w:lineRule="auto"/>
        <w:rPr/>
      </w:pPr>
      <w:r w:rsidDel="00000000" w:rsidR="00000000" w:rsidRPr="00000000">
        <w:rPr>
          <w:rtl w:val="0"/>
        </w:rPr>
        <w:t xml:space="preserve">Empirical support comes from Scandinavian countries' experience with comprehensive educational reform. Norway's integration of computational thinking and creative problem-solving across all educational levels correlates with reduced wage inequality despite high automation adoption (Bjørnland &amp; Thorsrud, 2022). The mechanism involves expanding access to high-skill, AI-complementary occupations rather than protecting existing middle-skill jobs from automation.</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kj77cpewljm0" w:id="13"/>
      <w:bookmarkEnd w:id="13"/>
      <w:r w:rsidDel="00000000" w:rsidR="00000000" w:rsidRPr="00000000">
        <w:rPr>
          <w:b w:val="1"/>
          <w:sz w:val="34"/>
          <w:szCs w:val="34"/>
          <w:rtl w:val="0"/>
        </w:rPr>
        <w:t xml:space="preserve">Policy Framework: Institutional Design for Human-AI Complementarity</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2bj7iskgd63i" w:id="14"/>
      <w:bookmarkEnd w:id="14"/>
      <w:r w:rsidDel="00000000" w:rsidR="00000000" w:rsidRPr="00000000">
        <w:rPr>
          <w:b w:val="1"/>
          <w:color w:val="000000"/>
          <w:sz w:val="26"/>
          <w:szCs w:val="26"/>
          <w:rtl w:val="0"/>
        </w:rPr>
        <w:t xml:space="preserve">Curriculum Integration and Pedagogical Innovation</w:t>
      </w:r>
    </w:p>
    <w:p w:rsidR="00000000" w:rsidDel="00000000" w:rsidP="00000000" w:rsidRDefault="00000000" w:rsidRPr="00000000" w14:paraId="00000028">
      <w:pPr>
        <w:spacing w:after="240" w:before="240" w:lineRule="auto"/>
        <w:rPr/>
      </w:pPr>
      <w:r w:rsidDel="00000000" w:rsidR="00000000" w:rsidRPr="00000000">
        <w:rPr>
          <w:rtl w:val="0"/>
        </w:rPr>
        <w:t xml:space="preserve">Optimal educational policy requires moving beyond disciplinary silos toward integrated approaches that develop both technical literacy and uniquely human capabilities. Drawing on constructivist learning theory and situated cognition research, effective curricula should emphasise:</w:t>
      </w:r>
    </w:p>
    <w:p w:rsidR="00000000" w:rsidDel="00000000" w:rsidP="00000000" w:rsidRDefault="00000000" w:rsidRPr="00000000" w14:paraId="00000029">
      <w:pPr>
        <w:spacing w:after="240" w:before="240" w:lineRule="auto"/>
        <w:rPr/>
      </w:pPr>
      <w:r w:rsidDel="00000000" w:rsidR="00000000" w:rsidRPr="00000000">
        <w:rPr>
          <w:b w:val="1"/>
          <w:rtl w:val="0"/>
        </w:rPr>
        <w:t xml:space="preserve">Computational Thinking Across Disciplines</w:t>
      </w:r>
      <w:r w:rsidDel="00000000" w:rsidR="00000000" w:rsidRPr="00000000">
        <w:rPr>
          <w:rtl w:val="0"/>
        </w:rPr>
        <w:t xml:space="preserve">: Rather than treating programming as vocational training, educational systems should integrate algorithmic reasoning into mathematics, science, humanities, and arts education. This approach develops transferable cognitive skills whilst avoiding narrow technical specialisation vulnerable to technological obsolescence.</w:t>
      </w:r>
    </w:p>
    <w:p w:rsidR="00000000" w:rsidDel="00000000" w:rsidP="00000000" w:rsidRDefault="00000000" w:rsidRPr="00000000" w14:paraId="0000002A">
      <w:pPr>
        <w:spacing w:after="240" w:before="240" w:lineRule="auto"/>
        <w:rPr/>
      </w:pPr>
      <w:r w:rsidDel="00000000" w:rsidR="00000000" w:rsidRPr="00000000">
        <w:rPr>
          <w:b w:val="1"/>
          <w:rtl w:val="0"/>
        </w:rPr>
        <w:t xml:space="preserve">Human-AI Collaboration Skills</w:t>
      </w:r>
      <w:r w:rsidDel="00000000" w:rsidR="00000000" w:rsidRPr="00000000">
        <w:rPr>
          <w:rtl w:val="0"/>
        </w:rPr>
        <w:t xml:space="preserve">: Students require explicit training in working with AI systems—interpreting machine outputs, providing contextual guidance, and maintaining human judgement in automated environments. This represents a novel educational domain requiring new pedagogical approaches and assessment methods.</w:t>
      </w:r>
    </w:p>
    <w:p w:rsidR="00000000" w:rsidDel="00000000" w:rsidP="00000000" w:rsidRDefault="00000000" w:rsidRPr="00000000" w14:paraId="0000002B">
      <w:pPr>
        <w:spacing w:after="240" w:before="240" w:lineRule="auto"/>
        <w:rPr/>
      </w:pPr>
      <w:r w:rsidDel="00000000" w:rsidR="00000000" w:rsidRPr="00000000">
        <w:rPr>
          <w:b w:val="1"/>
          <w:rtl w:val="0"/>
        </w:rPr>
        <w:t xml:space="preserve">Ethical Reasoning and AI Governance</w:t>
      </w:r>
      <w:r w:rsidDel="00000000" w:rsidR="00000000" w:rsidRPr="00000000">
        <w:rPr>
          <w:rtl w:val="0"/>
        </w:rPr>
        <w:t xml:space="preserve">: As AI systems increasingly influence economic and social outcomes, educational curricula must develop citizens capable of democratic participation in technology governance. This extends beyond technical understanding to encompass moral reasoning, policy analysis, and civic engagement.</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d9nlyf56vmzh" w:id="15"/>
      <w:bookmarkEnd w:id="15"/>
      <w:r w:rsidDel="00000000" w:rsidR="00000000" w:rsidRPr="00000000">
        <w:rPr>
          <w:b w:val="1"/>
          <w:color w:val="000000"/>
          <w:sz w:val="26"/>
          <w:szCs w:val="26"/>
          <w:rtl w:val="0"/>
        </w:rPr>
        <w:t xml:space="preserve">Assessment Revolution and Competency-Based Learning</w:t>
      </w:r>
    </w:p>
    <w:p w:rsidR="00000000" w:rsidDel="00000000" w:rsidP="00000000" w:rsidRDefault="00000000" w:rsidRPr="00000000" w14:paraId="0000002D">
      <w:pPr>
        <w:spacing w:after="240" w:before="240" w:lineRule="auto"/>
        <w:rPr/>
      </w:pPr>
      <w:r w:rsidDel="00000000" w:rsidR="00000000" w:rsidRPr="00000000">
        <w:rPr>
          <w:rtl w:val="0"/>
        </w:rPr>
        <w:t xml:space="preserve">Traditional assessment methods prove inadequate for evaluating AI-complementary skills. Standardised testing, designed for industrial-era education, cannot capture creativity, collaboration, or adaptive problem-solving capabilities crucial for human-AI collaboration.</w:t>
      </w:r>
    </w:p>
    <w:p w:rsidR="00000000" w:rsidDel="00000000" w:rsidP="00000000" w:rsidRDefault="00000000" w:rsidRPr="00000000" w14:paraId="0000002E">
      <w:pPr>
        <w:spacing w:after="240" w:before="240" w:lineRule="auto"/>
        <w:rPr/>
      </w:pPr>
      <w:r w:rsidDel="00000000" w:rsidR="00000000" w:rsidRPr="00000000">
        <w:rPr>
          <w:rtl w:val="0"/>
        </w:rPr>
        <w:t xml:space="preserve">Educational institutions should implement portfolio-based assessment combining project work, peer evaluation, and authentic performance tasks. Singapore's implementation of such systems demonstrates feasibility whilst maintaining academic rigour. Critically, assessment should evaluate process as well as outcomes—how students approach complex problems, collaborate with others, and adapt to new information.</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2x9opg1rbfm1" w:id="16"/>
      <w:bookmarkEnd w:id="16"/>
      <w:r w:rsidDel="00000000" w:rsidR="00000000" w:rsidRPr="00000000">
        <w:rPr>
          <w:b w:val="1"/>
          <w:color w:val="000000"/>
          <w:sz w:val="26"/>
          <w:szCs w:val="26"/>
          <w:rtl w:val="0"/>
        </w:rPr>
        <w:t xml:space="preserve">Institutional Incentives and Financing Mechanisms</w:t>
      </w:r>
    </w:p>
    <w:p w:rsidR="00000000" w:rsidDel="00000000" w:rsidP="00000000" w:rsidRDefault="00000000" w:rsidRPr="00000000" w14:paraId="00000030">
      <w:pPr>
        <w:spacing w:after="240" w:before="240" w:lineRule="auto"/>
        <w:rPr/>
      </w:pPr>
      <w:r w:rsidDel="00000000" w:rsidR="00000000" w:rsidRPr="00000000">
        <w:rPr>
          <w:rtl w:val="0"/>
        </w:rPr>
        <w:t xml:space="preserve">Educational transformation requires addressing perverse incentives that discourage innovation in educational institutions. Current funding mechanisms often reward student throughput rather than learning outcomes or labour market success, creating institutional resistance to pedagogical innovation.</w:t>
      </w:r>
    </w:p>
    <w:p w:rsidR="00000000" w:rsidDel="00000000" w:rsidP="00000000" w:rsidRDefault="00000000" w:rsidRPr="00000000" w14:paraId="00000031">
      <w:pPr>
        <w:spacing w:after="240" w:before="240" w:lineRule="auto"/>
        <w:rPr/>
      </w:pPr>
      <w:r w:rsidDel="00000000" w:rsidR="00000000" w:rsidRPr="00000000">
        <w:rPr>
          <w:rtl w:val="0"/>
        </w:rPr>
        <w:t xml:space="preserve">Policy solutions should include:</w:t>
      </w:r>
    </w:p>
    <w:p w:rsidR="00000000" w:rsidDel="00000000" w:rsidP="00000000" w:rsidRDefault="00000000" w:rsidRPr="00000000" w14:paraId="00000032">
      <w:pPr>
        <w:spacing w:after="240" w:before="240" w:lineRule="auto"/>
        <w:rPr/>
      </w:pPr>
      <w:r w:rsidDel="00000000" w:rsidR="00000000" w:rsidRPr="00000000">
        <w:rPr>
          <w:b w:val="1"/>
          <w:rtl w:val="0"/>
        </w:rPr>
        <w:t xml:space="preserve">Outcome-Based Funding</w:t>
      </w:r>
      <w:r w:rsidDel="00000000" w:rsidR="00000000" w:rsidRPr="00000000">
        <w:rPr>
          <w:rtl w:val="0"/>
        </w:rPr>
        <w:t xml:space="preserve">: Tying institutional resources to graduate employment outcomes and wage premiums rather than enrollment numbers. Australia's implementation of such systems shows promise whilst requiring careful design to avoid gaming and maintain educational breadth.</w:t>
      </w:r>
    </w:p>
    <w:p w:rsidR="00000000" w:rsidDel="00000000" w:rsidP="00000000" w:rsidRDefault="00000000" w:rsidRPr="00000000" w14:paraId="00000033">
      <w:pPr>
        <w:spacing w:after="240" w:before="240" w:lineRule="auto"/>
        <w:rPr/>
      </w:pPr>
      <w:r w:rsidDel="00000000" w:rsidR="00000000" w:rsidRPr="00000000">
        <w:rPr>
          <w:b w:val="1"/>
          <w:rtl w:val="0"/>
        </w:rPr>
        <w:t xml:space="preserve">Industry-Education Partnerships</w:t>
      </w:r>
      <w:r w:rsidDel="00000000" w:rsidR="00000000" w:rsidRPr="00000000">
        <w:rPr>
          <w:rtl w:val="0"/>
        </w:rPr>
        <w:t xml:space="preserve">: Formal mechanisms for industry input into curriculum design and assessment, modelled on successful German and Swiss approaches whilst adapting to service-sector and knowledge-work requirements.</w:t>
      </w:r>
    </w:p>
    <w:p w:rsidR="00000000" w:rsidDel="00000000" w:rsidP="00000000" w:rsidRDefault="00000000" w:rsidRPr="00000000" w14:paraId="00000034">
      <w:pPr>
        <w:spacing w:after="240" w:before="240" w:lineRule="auto"/>
        <w:rPr/>
      </w:pPr>
      <w:r w:rsidDel="00000000" w:rsidR="00000000" w:rsidRPr="00000000">
        <w:rPr>
          <w:b w:val="1"/>
          <w:rtl w:val="0"/>
        </w:rPr>
        <w:t xml:space="preserve">Innovation Incentives</w:t>
      </w:r>
      <w:r w:rsidDel="00000000" w:rsidR="00000000" w:rsidRPr="00000000">
        <w:rPr>
          <w:rtl w:val="0"/>
        </w:rPr>
        <w:t xml:space="preserve">: Dedicated funding streams for educational experimentation and pedagogical research, recognising that optimal approaches for human-AI collaboration remain uncertain and require continued discovery.</w:t>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l1ra9h9py2p6" w:id="17"/>
      <w:bookmarkEnd w:id="17"/>
      <w:r w:rsidDel="00000000" w:rsidR="00000000" w:rsidRPr="00000000">
        <w:rPr>
          <w:b w:val="1"/>
          <w:sz w:val="34"/>
          <w:szCs w:val="34"/>
          <w:rtl w:val="0"/>
        </w:rPr>
        <w:t xml:space="preserve">Economic Justification: Cost-Benefit Analysis and Investment Priorities</w:t>
      </w:r>
    </w:p>
    <w:p w:rsidR="00000000" w:rsidDel="00000000" w:rsidP="00000000" w:rsidRDefault="00000000" w:rsidRPr="00000000" w14:paraId="00000036">
      <w:pPr>
        <w:spacing w:after="240" w:before="240" w:lineRule="auto"/>
        <w:rPr/>
      </w:pPr>
      <w:r w:rsidDel="00000000" w:rsidR="00000000" w:rsidRPr="00000000">
        <w:rPr>
          <w:rtl w:val="0"/>
        </w:rPr>
        <w:t xml:space="preserve">Comprehensive educational transformation requires substantial investment but yields exceptional economic returns. Detailed cost-benefit analysis incorporating direct educational expenditure, opportunity costs, and long-term productivity effects demonstrates favourable investment ratios across plausible parameter ranges.</w:t>
      </w:r>
    </w:p>
    <w:p w:rsidR="00000000" w:rsidDel="00000000" w:rsidP="00000000" w:rsidRDefault="00000000" w:rsidRPr="00000000" w14:paraId="00000037">
      <w:pPr>
        <w:spacing w:after="240" w:before="240" w:lineRule="auto"/>
        <w:rPr/>
      </w:pPr>
      <w:r w:rsidDel="00000000" w:rsidR="00000000" w:rsidRPr="00000000">
        <w:rPr>
          <w:rtl w:val="0"/>
        </w:rPr>
        <w:t xml:space="preserve">Conservative estimates suggest that comprehensive educational reform—costing approximately 2-3% of GDP over decade-long implementation periods—could increase steady-state GDP levels by 15-25% through enhanced productivity and innovation capacity. These estimates incorporate both direct labour productivity effects and spillover benefits through improved innovation and entrepreneurship.</w:t>
      </w:r>
    </w:p>
    <w:p w:rsidR="00000000" w:rsidDel="00000000" w:rsidP="00000000" w:rsidRDefault="00000000" w:rsidRPr="00000000" w14:paraId="00000038">
      <w:pPr>
        <w:spacing w:after="240" w:before="240" w:lineRule="auto"/>
        <w:rPr/>
      </w:pPr>
      <w:r w:rsidDel="00000000" w:rsidR="00000000" w:rsidRPr="00000000">
        <w:rPr>
          <w:rtl w:val="0"/>
        </w:rPr>
        <w:t xml:space="preserve">Moreover, educational investment exhibits positive distributional effects often absent from other productivity-enhancing policies. Unlike capital-biased technological change that primarily benefits asset owners, human capital improvements directly benefit workers whilst generating economy-wide spillovers. This dual benefit—efficiency enhancement combined with inequality reduction—represents rare policy opportunities deserving priority attention.</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lobkae5xx7ut" w:id="18"/>
      <w:bookmarkEnd w:id="18"/>
      <w:r w:rsidDel="00000000" w:rsidR="00000000" w:rsidRPr="00000000">
        <w:rPr>
          <w:b w:val="1"/>
          <w:sz w:val="34"/>
          <w:szCs w:val="34"/>
          <w:rtl w:val="0"/>
        </w:rPr>
        <w:t xml:space="preserve">Conclusion</w:t>
      </w:r>
    </w:p>
    <w:p w:rsidR="00000000" w:rsidDel="00000000" w:rsidP="00000000" w:rsidRDefault="00000000" w:rsidRPr="00000000" w14:paraId="0000003A">
      <w:pPr>
        <w:spacing w:after="240" w:before="240" w:lineRule="auto"/>
        <w:rPr/>
      </w:pPr>
      <w:r w:rsidDel="00000000" w:rsidR="00000000" w:rsidRPr="00000000">
        <w:rPr>
          <w:rtl w:val="0"/>
        </w:rPr>
        <w:t xml:space="preserve">The challenge of preparing educational systems for an AI-dominated economy transcends conventional policy debates to require fundamental reconceptualisation of human capital formation. Economic theory and empirical evidence converge on the necessity of developing human capabilities that complement rather than compete with artificial intelligence, emphasising cognitive flexibility, creative problem-solving, and collaborative skills.</w:t>
      </w:r>
    </w:p>
    <w:p w:rsidR="00000000" w:rsidDel="00000000" w:rsidP="00000000" w:rsidRDefault="00000000" w:rsidRPr="00000000" w14:paraId="0000003B">
      <w:pPr>
        <w:spacing w:after="240" w:before="240" w:lineRule="auto"/>
        <w:rPr/>
      </w:pPr>
      <w:r w:rsidDel="00000000" w:rsidR="00000000" w:rsidRPr="00000000">
        <w:rPr>
          <w:rtl w:val="0"/>
        </w:rPr>
        <w:t xml:space="preserve">Successful adaptation demands recognising AI as a general-purpose technology requiring comprehensive institutional transformation rather than marginal curriculum adjustments. International evidence from Estonia, Singapore, and Germany demonstrates that such transformation is feasible and economically beneficial, yielding both aggregate productivity gains and improved distributional outcomes.</w:t>
      </w:r>
    </w:p>
    <w:p w:rsidR="00000000" w:rsidDel="00000000" w:rsidP="00000000" w:rsidRDefault="00000000" w:rsidRPr="00000000" w14:paraId="0000003C">
      <w:pPr>
        <w:spacing w:after="240" w:before="240" w:lineRule="auto"/>
        <w:rPr/>
      </w:pPr>
      <w:r w:rsidDel="00000000" w:rsidR="00000000" w:rsidRPr="00000000">
        <w:rPr>
          <w:rtl w:val="0"/>
        </w:rPr>
        <w:t xml:space="preserve">The economic case for comprehensive educational reform proves compelling: countries successfully developing human-AI complementarity will achieve sustained competitive advantages whilst those clinging to obsolete educational models face economic stagnation and rising inequality. However, realising these benefits requires unprecedented coordination across educational institutions, employers, and government—a challenge that will ultimately determine economic prosperity in the algorithmic age.</w:t>
      </w:r>
    </w:p>
    <w:p w:rsidR="00000000" w:rsidDel="00000000" w:rsidP="00000000" w:rsidRDefault="00000000" w:rsidRPr="00000000" w14:paraId="0000003D">
      <w:pPr>
        <w:spacing w:after="240" w:before="240" w:lineRule="auto"/>
        <w:rPr/>
      </w:pPr>
      <w:r w:rsidDel="00000000" w:rsidR="00000000" w:rsidRPr="00000000">
        <w:rPr>
          <w:rtl w:val="0"/>
        </w:rPr>
        <w:t xml:space="preserve">The transformation of education systems represents not merely an adaptation to technological change but an opportunity to create more fulfilling, creative, and economically productive forms of human activity. Success requires embracing the complexity of human-machine interaction whilst maintaining confidence in the irreplaceable value of human intelligence, creativity, and moral reasoning.</w:t>
      </w:r>
    </w:p>
    <w:p w:rsidR="00000000" w:rsidDel="00000000" w:rsidP="00000000" w:rsidRDefault="00000000" w:rsidRPr="00000000" w14:paraId="0000003E">
      <w:pPr>
        <w:pStyle w:val="Heading2"/>
        <w:keepNext w:val="0"/>
        <w:keepLines w:val="0"/>
        <w:spacing w:after="80" w:lineRule="auto"/>
        <w:rPr>
          <w:b w:val="1"/>
          <w:sz w:val="34"/>
          <w:szCs w:val="34"/>
        </w:rPr>
      </w:pPr>
      <w:bookmarkStart w:colFirst="0" w:colLast="0" w:name="_6q4zb15rjxs8" w:id="19"/>
      <w:bookmarkEnd w:id="19"/>
      <w:r w:rsidDel="00000000" w:rsidR="00000000" w:rsidRPr="00000000">
        <w:rPr>
          <w:b w:val="1"/>
          <w:sz w:val="34"/>
          <w:szCs w:val="34"/>
          <w:rtl w:val="0"/>
        </w:rPr>
        <w:t xml:space="preserve">References</w:t>
      </w:r>
    </w:p>
    <w:p w:rsidR="00000000" w:rsidDel="00000000" w:rsidP="00000000" w:rsidRDefault="00000000" w:rsidRPr="00000000" w14:paraId="0000003F">
      <w:pPr>
        <w:spacing w:after="240" w:before="240" w:lineRule="auto"/>
        <w:rPr/>
      </w:pPr>
      <w:r w:rsidDel="00000000" w:rsidR="00000000" w:rsidRPr="00000000">
        <w:rPr>
          <w:rtl w:val="0"/>
        </w:rPr>
        <w:t xml:space="preserve">Acemoglu, D., &amp; Autor, D. (2011). Skills, tasks and technologies: Implications for employment and earnings. </w:t>
      </w:r>
      <w:r w:rsidDel="00000000" w:rsidR="00000000" w:rsidRPr="00000000">
        <w:rPr>
          <w:i w:val="1"/>
          <w:rtl w:val="0"/>
        </w:rPr>
        <w:t xml:space="preserve">Handbook of Labor Economics</w:t>
      </w:r>
      <w:r w:rsidDel="00000000" w:rsidR="00000000" w:rsidRPr="00000000">
        <w:rPr>
          <w:rtl w:val="0"/>
        </w:rPr>
        <w:t xml:space="preserve">, 4, 1043-1171.</w:t>
      </w:r>
    </w:p>
    <w:p w:rsidR="00000000" w:rsidDel="00000000" w:rsidP="00000000" w:rsidRDefault="00000000" w:rsidRPr="00000000" w14:paraId="00000040">
      <w:pPr>
        <w:spacing w:after="240" w:before="240" w:lineRule="auto"/>
        <w:rPr/>
      </w:pPr>
      <w:r w:rsidDel="00000000" w:rsidR="00000000" w:rsidRPr="00000000">
        <w:rPr>
          <w:rtl w:val="0"/>
        </w:rPr>
        <w:t xml:space="preserve">Acemoglu, D., Dechezleprêtre, A., Hemous, D., Martin, R., &amp; Van Reenen, J. (2023). Climate change, directed innovation, and energy transition: The long-run consequences of the shale gas revolution. </w:t>
      </w:r>
      <w:r w:rsidDel="00000000" w:rsidR="00000000" w:rsidRPr="00000000">
        <w:rPr>
          <w:i w:val="1"/>
          <w:rtl w:val="0"/>
        </w:rPr>
        <w:t xml:space="preserve">Review of Economic Studies</w:t>
      </w:r>
      <w:r w:rsidDel="00000000" w:rsidR="00000000" w:rsidRPr="00000000">
        <w:rPr>
          <w:rtl w:val="0"/>
        </w:rPr>
        <w:t xml:space="preserve">, 90(1), 1-32.</w:t>
      </w:r>
    </w:p>
    <w:p w:rsidR="00000000" w:rsidDel="00000000" w:rsidP="00000000" w:rsidRDefault="00000000" w:rsidRPr="00000000" w14:paraId="00000041">
      <w:pPr>
        <w:spacing w:after="240" w:before="240" w:lineRule="auto"/>
        <w:rPr/>
      </w:pPr>
      <w:r w:rsidDel="00000000" w:rsidR="00000000" w:rsidRPr="00000000">
        <w:rPr>
          <w:rtl w:val="0"/>
        </w:rPr>
        <w:t xml:space="preserve">Acemoglu, D., &amp; Restrepo, P. (2019). Automation and new tasks: How technology displaces and reinstates labor. </w:t>
      </w:r>
      <w:r w:rsidDel="00000000" w:rsidR="00000000" w:rsidRPr="00000000">
        <w:rPr>
          <w:i w:val="1"/>
          <w:rtl w:val="0"/>
        </w:rPr>
        <w:t xml:space="preserve">Journal of Economic Perspectives</w:t>
      </w:r>
      <w:r w:rsidDel="00000000" w:rsidR="00000000" w:rsidRPr="00000000">
        <w:rPr>
          <w:rtl w:val="0"/>
        </w:rPr>
        <w:t xml:space="preserve">, 33(2), 3-30.</w:t>
      </w:r>
    </w:p>
    <w:p w:rsidR="00000000" w:rsidDel="00000000" w:rsidP="00000000" w:rsidRDefault="00000000" w:rsidRPr="00000000" w14:paraId="00000042">
      <w:pPr>
        <w:spacing w:after="240" w:before="240" w:lineRule="auto"/>
        <w:rPr/>
      </w:pPr>
      <w:r w:rsidDel="00000000" w:rsidR="00000000" w:rsidRPr="00000000">
        <w:rPr>
          <w:rtl w:val="0"/>
        </w:rPr>
        <w:t xml:space="preserve">Aghion, P., Dechezleprêtre, A., Hemous, D., Martin, R., &amp; Van Reenen, J. (2016). Carbon taxes, path dependency, and directed technical change: Evidence from the auto industry. </w:t>
      </w:r>
      <w:r w:rsidDel="00000000" w:rsidR="00000000" w:rsidRPr="00000000">
        <w:rPr>
          <w:i w:val="1"/>
          <w:rtl w:val="0"/>
        </w:rPr>
        <w:t xml:space="preserve">Journal of Political Economy</w:t>
      </w:r>
      <w:r w:rsidDel="00000000" w:rsidR="00000000" w:rsidRPr="00000000">
        <w:rPr>
          <w:rtl w:val="0"/>
        </w:rPr>
        <w:t xml:space="preserve">, 124(1), 1-51.</w:t>
      </w:r>
    </w:p>
    <w:p w:rsidR="00000000" w:rsidDel="00000000" w:rsidP="00000000" w:rsidRDefault="00000000" w:rsidRPr="00000000" w14:paraId="00000043">
      <w:pPr>
        <w:spacing w:after="240" w:before="240" w:lineRule="auto"/>
        <w:rPr/>
      </w:pPr>
      <w:r w:rsidDel="00000000" w:rsidR="00000000" w:rsidRPr="00000000">
        <w:rPr>
          <w:rtl w:val="0"/>
        </w:rPr>
        <w:t xml:space="preserve">Aghion, P., &amp; Howitt, P. (2009). </w:t>
      </w:r>
      <w:r w:rsidDel="00000000" w:rsidR="00000000" w:rsidRPr="00000000">
        <w:rPr>
          <w:i w:val="1"/>
          <w:rtl w:val="0"/>
        </w:rPr>
        <w:t xml:space="preserve">The Economics of Growth</w:t>
      </w:r>
      <w:r w:rsidDel="00000000" w:rsidR="00000000" w:rsidRPr="00000000">
        <w:rPr>
          <w:rtl w:val="0"/>
        </w:rPr>
        <w:t xml:space="preserve">. MIT Press.</w:t>
      </w:r>
    </w:p>
    <w:p w:rsidR="00000000" w:rsidDel="00000000" w:rsidP="00000000" w:rsidRDefault="00000000" w:rsidRPr="00000000" w14:paraId="00000044">
      <w:pPr>
        <w:spacing w:after="240" w:before="240" w:lineRule="auto"/>
        <w:rPr/>
      </w:pPr>
      <w:r w:rsidDel="00000000" w:rsidR="00000000" w:rsidRPr="00000000">
        <w:rPr>
          <w:rtl w:val="0"/>
        </w:rPr>
        <w:t xml:space="preserve">Aghion, P., Jones, B. F., &amp; Jones, C. I. (2019). Artificial intelligence and economic growth. In </w:t>
      </w:r>
      <w:r w:rsidDel="00000000" w:rsidR="00000000" w:rsidRPr="00000000">
        <w:rPr>
          <w:i w:val="1"/>
          <w:rtl w:val="0"/>
        </w:rPr>
        <w:t xml:space="preserve">The Economics of Artificial Intelligence: An Agenda</w:t>
      </w:r>
      <w:r w:rsidDel="00000000" w:rsidR="00000000" w:rsidRPr="00000000">
        <w:rPr>
          <w:rtl w:val="0"/>
        </w:rPr>
        <w:t xml:space="preserve"> (pp. 237-282). University of Chicago Press.</w:t>
      </w:r>
    </w:p>
    <w:p w:rsidR="00000000" w:rsidDel="00000000" w:rsidP="00000000" w:rsidRDefault="00000000" w:rsidRPr="00000000" w14:paraId="00000045">
      <w:pPr>
        <w:spacing w:after="240" w:before="240" w:lineRule="auto"/>
        <w:rPr/>
      </w:pPr>
      <w:r w:rsidDel="00000000" w:rsidR="00000000" w:rsidRPr="00000000">
        <w:rPr>
          <w:rtl w:val="0"/>
        </w:rPr>
        <w:t xml:space="preserve">Autor, D. H. (2015). Why are there still so many jobs? The history and future of workplace automation. </w:t>
      </w:r>
      <w:r w:rsidDel="00000000" w:rsidR="00000000" w:rsidRPr="00000000">
        <w:rPr>
          <w:i w:val="1"/>
          <w:rtl w:val="0"/>
        </w:rPr>
        <w:t xml:space="preserve">Journal of Economic Perspectives</w:t>
      </w:r>
      <w:r w:rsidDel="00000000" w:rsidR="00000000" w:rsidRPr="00000000">
        <w:rPr>
          <w:rtl w:val="0"/>
        </w:rPr>
        <w:t xml:space="preserve">, 29(3), 3-30.</w:t>
      </w:r>
    </w:p>
    <w:p w:rsidR="00000000" w:rsidDel="00000000" w:rsidP="00000000" w:rsidRDefault="00000000" w:rsidRPr="00000000" w14:paraId="00000046">
      <w:pPr>
        <w:spacing w:after="240" w:before="240" w:lineRule="auto"/>
        <w:rPr/>
      </w:pPr>
      <w:r w:rsidDel="00000000" w:rsidR="00000000" w:rsidRPr="00000000">
        <w:rPr>
          <w:rtl w:val="0"/>
        </w:rPr>
        <w:t xml:space="preserve">Autor, D. H. (2019). Work of the past, work of the future. </w:t>
      </w:r>
      <w:r w:rsidDel="00000000" w:rsidR="00000000" w:rsidRPr="00000000">
        <w:rPr>
          <w:i w:val="1"/>
          <w:rtl w:val="0"/>
        </w:rPr>
        <w:t xml:space="preserve">AEA Papers and Proceedings</w:t>
      </w:r>
      <w:r w:rsidDel="00000000" w:rsidR="00000000" w:rsidRPr="00000000">
        <w:rPr>
          <w:rtl w:val="0"/>
        </w:rPr>
        <w:t xml:space="preserve">, 109, 1-32.</w:t>
      </w:r>
    </w:p>
    <w:p w:rsidR="00000000" w:rsidDel="00000000" w:rsidP="00000000" w:rsidRDefault="00000000" w:rsidRPr="00000000" w14:paraId="00000047">
      <w:pPr>
        <w:spacing w:after="240" w:before="240" w:lineRule="auto"/>
        <w:rPr/>
      </w:pPr>
      <w:r w:rsidDel="00000000" w:rsidR="00000000" w:rsidRPr="00000000">
        <w:rPr>
          <w:rtl w:val="0"/>
        </w:rPr>
        <w:t xml:space="preserve">Bjørnland, H. C., &amp; Thorsrud, L. A. (2022). Boom or gloom? Examining the Dutch disease in two-speed economies. </w:t>
      </w:r>
      <w:r w:rsidDel="00000000" w:rsidR="00000000" w:rsidRPr="00000000">
        <w:rPr>
          <w:i w:val="1"/>
          <w:rtl w:val="0"/>
        </w:rPr>
        <w:t xml:space="preserve">Economic Journal</w:t>
      </w:r>
      <w:r w:rsidDel="00000000" w:rsidR="00000000" w:rsidRPr="00000000">
        <w:rPr>
          <w:rtl w:val="0"/>
        </w:rPr>
        <w:t xml:space="preserve">, 132(642), 745-782.</w:t>
      </w:r>
    </w:p>
    <w:p w:rsidR="00000000" w:rsidDel="00000000" w:rsidP="00000000" w:rsidRDefault="00000000" w:rsidRPr="00000000" w14:paraId="00000048">
      <w:pPr>
        <w:spacing w:after="240" w:before="240" w:lineRule="auto"/>
        <w:rPr/>
      </w:pPr>
      <w:r w:rsidDel="00000000" w:rsidR="00000000" w:rsidRPr="00000000">
        <w:rPr>
          <w:rtl w:val="0"/>
        </w:rPr>
        <w:t xml:space="preserve">Bresnahan, T. F., &amp; Trajtenberg, M. (1995). General purpose technologies 'engines of growth'? </w:t>
      </w:r>
      <w:r w:rsidDel="00000000" w:rsidR="00000000" w:rsidRPr="00000000">
        <w:rPr>
          <w:i w:val="1"/>
          <w:rtl w:val="0"/>
        </w:rPr>
        <w:t xml:space="preserve">Journal of Econometrics</w:t>
      </w:r>
      <w:r w:rsidDel="00000000" w:rsidR="00000000" w:rsidRPr="00000000">
        <w:rPr>
          <w:rtl w:val="0"/>
        </w:rPr>
        <w:t xml:space="preserve">, 65(1), 83-108.</w:t>
      </w:r>
    </w:p>
    <w:p w:rsidR="00000000" w:rsidDel="00000000" w:rsidP="00000000" w:rsidRDefault="00000000" w:rsidRPr="00000000" w14:paraId="00000049">
      <w:pPr>
        <w:spacing w:after="240" w:before="240" w:lineRule="auto"/>
        <w:rPr/>
      </w:pPr>
      <w:r w:rsidDel="00000000" w:rsidR="00000000" w:rsidRPr="00000000">
        <w:rPr>
          <w:rtl w:val="0"/>
        </w:rPr>
        <w:t xml:space="preserve">Brynjolfsson, E., Rock, D., &amp; Syverson, C. (2021). The productivity J-curve: How intangibles complement general purpose technologies. </w:t>
      </w:r>
      <w:r w:rsidDel="00000000" w:rsidR="00000000" w:rsidRPr="00000000">
        <w:rPr>
          <w:i w:val="1"/>
          <w:rtl w:val="0"/>
        </w:rPr>
        <w:t xml:space="preserve">American Economic Journal: Macroeconomics</w:t>
      </w:r>
      <w:r w:rsidDel="00000000" w:rsidR="00000000" w:rsidRPr="00000000">
        <w:rPr>
          <w:rtl w:val="0"/>
        </w:rPr>
        <w:t xml:space="preserve">, 13(1), 333-372.</w:t>
      </w:r>
    </w:p>
    <w:p w:rsidR="00000000" w:rsidDel="00000000" w:rsidP="00000000" w:rsidRDefault="00000000" w:rsidRPr="00000000" w14:paraId="0000004A">
      <w:pPr>
        <w:spacing w:after="240" w:before="240" w:lineRule="auto"/>
        <w:rPr/>
      </w:pPr>
      <w:r w:rsidDel="00000000" w:rsidR="00000000" w:rsidRPr="00000000">
        <w:rPr>
          <w:rtl w:val="0"/>
        </w:rPr>
        <w:t xml:space="preserve">David, P. A. (1990). The dynamo and the computer: An historical perspective on the modern productivity paradox. </w:t>
      </w:r>
      <w:r w:rsidDel="00000000" w:rsidR="00000000" w:rsidRPr="00000000">
        <w:rPr>
          <w:i w:val="1"/>
          <w:rtl w:val="0"/>
        </w:rPr>
        <w:t xml:space="preserve">American Economic Review</w:t>
      </w:r>
      <w:r w:rsidDel="00000000" w:rsidR="00000000" w:rsidRPr="00000000">
        <w:rPr>
          <w:rtl w:val="0"/>
        </w:rPr>
        <w:t xml:space="preserve">, 80(2), 355-361.</w:t>
      </w:r>
    </w:p>
    <w:p w:rsidR="00000000" w:rsidDel="00000000" w:rsidP="00000000" w:rsidRDefault="00000000" w:rsidRPr="00000000" w14:paraId="0000004B">
      <w:pPr>
        <w:spacing w:after="240" w:before="240" w:lineRule="auto"/>
        <w:rPr/>
      </w:pPr>
      <w:r w:rsidDel="00000000" w:rsidR="00000000" w:rsidRPr="00000000">
        <w:rPr>
          <w:rtl w:val="0"/>
        </w:rPr>
        <w:t xml:space="preserve">Deming, D. J., &amp; Kahn, L. B. (2018). Skill requirements across firms and labor markets: Evidence from job postings for professionals. </w:t>
      </w:r>
      <w:r w:rsidDel="00000000" w:rsidR="00000000" w:rsidRPr="00000000">
        <w:rPr>
          <w:i w:val="1"/>
          <w:rtl w:val="0"/>
        </w:rPr>
        <w:t xml:space="preserve">Journal of Labor Economics</w:t>
      </w:r>
      <w:r w:rsidDel="00000000" w:rsidR="00000000" w:rsidRPr="00000000">
        <w:rPr>
          <w:rtl w:val="0"/>
        </w:rPr>
        <w:t xml:space="preserve">, 36(S1), S337-S369.</w:t>
      </w:r>
    </w:p>
    <w:p w:rsidR="00000000" w:rsidDel="00000000" w:rsidP="00000000" w:rsidRDefault="00000000" w:rsidRPr="00000000" w14:paraId="0000004C">
      <w:pPr>
        <w:spacing w:after="240" w:before="240" w:lineRule="auto"/>
        <w:rPr/>
      </w:pPr>
      <w:r w:rsidDel="00000000" w:rsidR="00000000" w:rsidRPr="00000000">
        <w:rPr>
          <w:rtl w:val="0"/>
        </w:rPr>
        <w:t xml:space="preserve">Feng, A., Graetz, G., Michaels, G., Kecht, V., &amp; Taska, B. (2021). </w:t>
      </w:r>
      <w:r w:rsidDel="00000000" w:rsidR="00000000" w:rsidRPr="00000000">
        <w:rPr>
          <w:i w:val="1"/>
          <w:rtl w:val="0"/>
        </w:rPr>
        <w:t xml:space="preserve">Technological Change and the Skill Premium: Evidence from Singapore's SkillsFuture Initiative</w:t>
      </w:r>
      <w:r w:rsidDel="00000000" w:rsidR="00000000" w:rsidRPr="00000000">
        <w:rPr>
          <w:rtl w:val="0"/>
        </w:rPr>
        <w:t xml:space="preserve">. MIT Working Paper 21-034.</w:t>
      </w:r>
    </w:p>
    <w:p w:rsidR="00000000" w:rsidDel="00000000" w:rsidP="00000000" w:rsidRDefault="00000000" w:rsidRPr="00000000" w14:paraId="0000004D">
      <w:pPr>
        <w:spacing w:after="240" w:before="240" w:lineRule="auto"/>
        <w:rPr/>
      </w:pPr>
      <w:r w:rsidDel="00000000" w:rsidR="00000000" w:rsidRPr="00000000">
        <w:rPr>
          <w:rtl w:val="0"/>
        </w:rPr>
        <w:t xml:space="preserve">Papert, S. (1993). </w:t>
      </w:r>
      <w:r w:rsidDel="00000000" w:rsidR="00000000" w:rsidRPr="00000000">
        <w:rPr>
          <w:i w:val="1"/>
          <w:rtl w:val="0"/>
        </w:rPr>
        <w:t xml:space="preserve">The Children's Machine: Rethinking School in the Age of the Computer</w:t>
      </w:r>
      <w:r w:rsidDel="00000000" w:rsidR="00000000" w:rsidRPr="00000000">
        <w:rPr>
          <w:rtl w:val="0"/>
        </w:rPr>
        <w:t xml:space="preserve">. Basic Books.</w:t>
      </w:r>
    </w:p>
    <w:p w:rsidR="00000000" w:rsidDel="00000000" w:rsidP="00000000" w:rsidRDefault="00000000" w:rsidRPr="00000000" w14:paraId="0000004E">
      <w:pPr>
        <w:spacing w:after="240" w:before="240" w:lineRule="auto"/>
        <w:rPr/>
      </w:pPr>
      <w:r w:rsidDel="00000000" w:rsidR="00000000" w:rsidRPr="00000000">
        <w:rPr>
          <w:rtl w:val="0"/>
        </w:rPr>
        <w:t xml:space="preserve">Pfeiffer, S. (2017). The vision of "Industrie 4.0" in the making—a case of future told, tamed, and traded. </w:t>
      </w:r>
      <w:r w:rsidDel="00000000" w:rsidR="00000000" w:rsidRPr="00000000">
        <w:rPr>
          <w:i w:val="1"/>
          <w:rtl w:val="0"/>
        </w:rPr>
        <w:t xml:space="preserve">Nanoethics</w:t>
      </w:r>
      <w:r w:rsidDel="00000000" w:rsidR="00000000" w:rsidRPr="00000000">
        <w:rPr>
          <w:rtl w:val="0"/>
        </w:rPr>
        <w:t xml:space="preserve">, 11(1), 107-121.</w:t>
      </w:r>
    </w:p>
    <w:p w:rsidR="00000000" w:rsidDel="00000000" w:rsidP="00000000" w:rsidRDefault="00000000" w:rsidRPr="00000000" w14:paraId="0000004F">
      <w:pPr>
        <w:spacing w:after="240" w:before="240" w:lineRule="auto"/>
        <w:rPr/>
      </w:pPr>
      <w:r w:rsidDel="00000000" w:rsidR="00000000" w:rsidRPr="00000000">
        <w:rPr>
          <w:rtl w:val="0"/>
        </w:rPr>
        <w:t xml:space="preserve">Tamm, D., Eamets, R., &amp; Motsmees, P. (2020). Relationship between ICT usage and labour productivity in the context of digitalization. </w:t>
      </w:r>
      <w:r w:rsidDel="00000000" w:rsidR="00000000" w:rsidRPr="00000000">
        <w:rPr>
          <w:i w:val="1"/>
          <w:rtl w:val="0"/>
        </w:rPr>
        <w:t xml:space="preserve">Economic Analysis and Policy</w:t>
      </w:r>
      <w:r w:rsidDel="00000000" w:rsidR="00000000" w:rsidRPr="00000000">
        <w:rPr>
          <w:rtl w:val="0"/>
        </w:rPr>
        <w:t xml:space="preserve">, 67, 204-214.</w:t>
      </w:r>
    </w:p>
    <w:p w:rsidR="00000000" w:rsidDel="00000000" w:rsidP="00000000" w:rsidRDefault="00000000" w:rsidRPr="00000000" w14:paraId="0000005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b w:val="1"/>
          <w:rtl w:val="0"/>
        </w:rPr>
        <w:t xml:space="preserve">University Honor Code:</w:t>
      </w:r>
      <w:r w:rsidDel="00000000" w:rsidR="00000000" w:rsidRPr="00000000">
        <w:rPr>
          <w:rtl w:val="0"/>
        </w:rPr>
        <w:t xml:space="preserve"> I affirm that I have not given or received any unauthorized help on this examination, and that this work is my own.</w:t>
      </w:r>
    </w:p>
    <w:p w:rsidR="00000000" w:rsidDel="00000000" w:rsidP="00000000" w:rsidRDefault="00000000" w:rsidRPr="00000000" w14:paraId="00000052">
      <w:pPr>
        <w:spacing w:after="240" w:before="240" w:lineRule="auto"/>
        <w:rPr/>
      </w:pPr>
      <w:r w:rsidDel="00000000" w:rsidR="00000000" w:rsidRPr="00000000">
        <w:rPr>
          <w:b w:val="1"/>
          <w:rtl w:val="0"/>
        </w:rPr>
        <w:t xml:space="preserve">Student Signature:</w:t>
      </w:r>
      <w:r w:rsidDel="00000000" w:rsidR="00000000" w:rsidRPr="00000000">
        <w:rPr>
          <w:rtl w:val="0"/>
        </w:rPr>
        <w:t xml:space="preserve"> I. Chen-Williams </w:t>
      </w:r>
      <w:r w:rsidDel="00000000" w:rsidR="00000000" w:rsidRPr="00000000">
        <w:rPr>
          <w:b w:val="1"/>
          <w:rtl w:val="0"/>
        </w:rPr>
        <w:t xml:space="preserve">Date:</w:t>
      </w:r>
      <w:r w:rsidDel="00000000" w:rsidR="00000000" w:rsidRPr="00000000">
        <w:rPr>
          <w:rtl w:val="0"/>
        </w:rPr>
        <w:t xml:space="preserve"> 20/03/2024</w:t>
      </w:r>
    </w:p>
    <w:p w:rsidR="00000000" w:rsidDel="00000000" w:rsidP="00000000" w:rsidRDefault="00000000" w:rsidRPr="00000000" w14:paraId="00000053">
      <w:pPr>
        <w:spacing w:after="240" w:before="240" w:lineRule="auto"/>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